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50" w:afterAutospacing="0" w:line="15" w:lineRule="atLeast"/>
        <w:ind w:left="0" w:right="0" w:firstLine="0"/>
        <w:jc w:val="center"/>
        <w:rPr>
          <w:rFonts w:hint="eastAsia" w:ascii="方正小标宋简体" w:hAnsi="方正小标宋简体" w:eastAsia="方正小标宋简体" w:cs="方正小标宋简体"/>
          <w:i w:val="0"/>
          <w:iCs w:val="0"/>
          <w:caps w:val="0"/>
          <w:color w:val="37474F"/>
          <w:spacing w:val="0"/>
          <w:sz w:val="44"/>
          <w:szCs w:val="44"/>
        </w:rPr>
      </w:pPr>
      <w:r>
        <w:rPr>
          <w:rFonts w:hint="eastAsia" w:ascii="方正小标宋简体" w:hAnsi="方正小标宋简体" w:eastAsia="方正小标宋简体" w:cs="方正小标宋简体"/>
          <w:i w:val="0"/>
          <w:iCs w:val="0"/>
          <w:caps w:val="0"/>
          <w:color w:val="37474F"/>
          <w:spacing w:val="0"/>
          <w:sz w:val="44"/>
          <w:szCs w:val="44"/>
        </w:rPr>
        <w:t>“三阶梯、七联动、三育人”的高职“课堂革命”探索与实践</w:t>
      </w:r>
    </w:p>
    <w:p>
      <w:pPr>
        <w:pStyle w:val="3"/>
        <w:keepNext w:val="0"/>
        <w:keepLines w:val="0"/>
        <w:widowControl/>
        <w:suppressLineNumbers w:val="0"/>
        <w:spacing w:before="110" w:beforeAutospacing="0" w:after="50" w:afterAutospacing="0" w:line="12" w:lineRule="atLeast"/>
        <w:ind w:left="0" w:firstLine="0"/>
        <w:jc w:val="center"/>
        <w:rPr>
          <w:rFonts w:hint="eastAsia" w:ascii="方正小标宋简体" w:hAnsi="方正小标宋简体" w:eastAsia="方正小标宋简体" w:cs="方正小标宋简体"/>
          <w:i w:val="0"/>
          <w:iCs w:val="0"/>
          <w:caps w:val="0"/>
          <w:color w:val="37474F"/>
          <w:spacing w:val="0"/>
          <w:sz w:val="30"/>
          <w:szCs w:val="30"/>
        </w:rPr>
      </w:pPr>
      <w:r>
        <w:rPr>
          <w:rFonts w:hint="eastAsia" w:ascii="方正小标宋简体" w:hAnsi="方正小标宋简体" w:eastAsia="方正小标宋简体" w:cs="方正小标宋简体"/>
          <w:i w:val="0"/>
          <w:iCs w:val="0"/>
          <w:caps w:val="0"/>
          <w:color w:val="37474F"/>
          <w:spacing w:val="0"/>
          <w:sz w:val="30"/>
          <w:szCs w:val="30"/>
        </w:rPr>
        <w:t>以《大数据分析实务》课程为例</w:t>
      </w:r>
    </w:p>
    <w:p>
      <w:pPr>
        <w:ind w:firstLine="562" w:firstLineChars="200"/>
        <w:jc w:val="left"/>
        <w:rPr>
          <w:rFonts w:hint="eastAsia" w:ascii="楷体" w:hAnsi="楷体" w:eastAsia="楷体" w:cs="楷体"/>
          <w:i w:val="0"/>
          <w:iCs w:val="0"/>
          <w:caps w:val="0"/>
          <w:color w:val="000000"/>
          <w:spacing w:val="0"/>
          <w:sz w:val="28"/>
          <w:szCs w:val="28"/>
          <w:shd w:val="clear" w:fill="FFFFFF"/>
          <w:lang w:val="en-US" w:eastAsia="zh-CN"/>
        </w:rPr>
      </w:pPr>
      <w:r>
        <w:rPr>
          <w:rFonts w:hint="eastAsia" w:asciiTheme="majorEastAsia" w:hAnsiTheme="majorEastAsia" w:eastAsiaTheme="majorEastAsia" w:cstheme="majorEastAsia"/>
          <w:b/>
          <w:bCs/>
          <w:i w:val="0"/>
          <w:iCs w:val="0"/>
          <w:caps w:val="0"/>
          <w:color w:val="000000"/>
          <w:spacing w:val="0"/>
          <w:sz w:val="28"/>
          <w:szCs w:val="28"/>
          <w:shd w:val="clear" w:fill="FFFFFF"/>
          <w:lang w:val="en-US" w:eastAsia="zh-CN"/>
        </w:rPr>
        <w:t>编者按：</w:t>
      </w:r>
      <w:r>
        <w:rPr>
          <w:rFonts w:hint="eastAsia" w:ascii="楷体" w:hAnsi="楷体" w:eastAsia="楷体" w:cs="楷体"/>
          <w:i w:val="0"/>
          <w:iCs w:val="0"/>
          <w:caps w:val="0"/>
          <w:color w:val="000000"/>
          <w:spacing w:val="0"/>
          <w:sz w:val="28"/>
          <w:szCs w:val="28"/>
          <w:shd w:val="clear" w:fill="FFFFFF"/>
          <w:lang w:val="en-US" w:eastAsia="zh-CN"/>
        </w:rPr>
        <w:t>本文摘录自石家庄邮电职业技术学院 龚雅洁、张昶、张蕾课程案例，文字有删减。</w:t>
      </w:r>
    </w:p>
    <w:p>
      <w:pPr>
        <w:pStyle w:val="4"/>
        <w:keepNext w:val="0"/>
        <w:keepLines w:val="0"/>
        <w:widowControl/>
        <w:suppressLineNumbers w:val="0"/>
        <w:shd w:val="clear" w:fill="FFFFFF"/>
        <w:spacing w:before="0" w:beforeAutospacing="0" w:after="100" w:afterAutospacing="0" w:line="370" w:lineRule="atLeast"/>
        <w:ind w:left="0" w:firstLine="420" w:firstLineChars="0"/>
        <w:jc w:val="left"/>
        <w:rPr>
          <w:rFonts w:hint="eastAsia" w:ascii="黑体" w:hAnsi="黑体" w:eastAsia="黑体" w:cs="黑体"/>
          <w:i w:val="0"/>
          <w:iCs w:val="0"/>
          <w:caps w:val="0"/>
          <w:color w:val="2A333C"/>
          <w:spacing w:val="0"/>
          <w:sz w:val="32"/>
          <w:szCs w:val="32"/>
        </w:rPr>
      </w:pPr>
      <w:bookmarkStart w:id="0" w:name="_GoBack"/>
      <w:bookmarkEnd w:id="0"/>
      <w:r>
        <w:rPr>
          <w:rStyle w:val="7"/>
          <w:rFonts w:hint="eastAsia" w:ascii="黑体" w:hAnsi="黑体" w:eastAsia="黑体" w:cs="黑体"/>
          <w:b/>
          <w:bCs/>
          <w:i w:val="0"/>
          <w:iCs w:val="0"/>
          <w:caps w:val="0"/>
          <w:color w:val="2A333C"/>
          <w:spacing w:val="0"/>
          <w:sz w:val="32"/>
          <w:szCs w:val="32"/>
          <w:shd w:val="clear" w:fill="FFFFFF"/>
        </w:rPr>
        <w:t>一、课程改革背景</w:t>
      </w:r>
    </w:p>
    <w:p>
      <w:pPr>
        <w:pStyle w:val="4"/>
        <w:keepNext w:val="0"/>
        <w:keepLines w:val="0"/>
        <w:widowControl/>
        <w:suppressLineNumbers w:val="0"/>
        <w:shd w:val="clear" w:fill="FFFFFF"/>
        <w:spacing w:before="0" w:beforeAutospacing="0" w:after="168" w:afterAutospacing="0" w:line="370" w:lineRule="atLeast"/>
        <w:ind w:left="0" w:firstLine="370"/>
        <w:rPr>
          <w:rFonts w:hint="default" w:ascii="Segoe UI" w:hAnsi="Segoe UI" w:eastAsia="Segoe UI" w:cs="Segoe UI"/>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随着信息化时代的到来，大数据技术已经成为了当今社会中最为热门的技术之一，也是数字时代产业模式变革和经济发展的核心驱动力之一。随着各行业对数据的需求日益增长，意味着需要更多掌握大数据技术的专业人才来应对新的挑战和机遇。</w:t>
      </w:r>
    </w:p>
    <w:p>
      <w:pPr>
        <w:pStyle w:val="4"/>
        <w:keepNext w:val="0"/>
        <w:keepLines w:val="0"/>
        <w:widowControl/>
        <w:suppressLineNumbers w:val="0"/>
        <w:shd w:val="clear" w:fill="FFFFFF"/>
        <w:spacing w:before="0" w:beforeAutospacing="0" w:after="168" w:afterAutospacing="0" w:line="370" w:lineRule="atLeast"/>
        <w:ind w:left="0" w:firstLine="370"/>
        <w:rPr>
          <w:rFonts w:hint="default" w:ascii="Segoe UI" w:hAnsi="Segoe UI" w:eastAsia="Segoe UI" w:cs="Segoe UI"/>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大数据分析实务》课程是高职类院校商务数据分析类专业的核心课程，课程旨在为大数据分析行业培养具备智能决策思维、数据建模技术和数据操作技能的大数据分析专员，为企业数字转型升级培养紧缺型技术技能人才。然而作为人才培养质量“主战场”的传统课堂，面临着诸多问题，是高职院校推进教学改革的重要内容。</w:t>
      </w:r>
    </w:p>
    <w:p>
      <w:pPr>
        <w:pStyle w:val="4"/>
        <w:keepNext w:val="0"/>
        <w:keepLines w:val="0"/>
        <w:widowControl/>
        <w:suppressLineNumbers w:val="0"/>
        <w:shd w:val="clear" w:fill="FFFFFF"/>
        <w:spacing w:before="0" w:beforeAutospacing="0" w:after="168" w:afterAutospacing="0" w:line="370" w:lineRule="atLeast"/>
        <w:ind w:left="0" w:firstLine="370"/>
        <w:rPr>
          <w:rFonts w:hint="default" w:ascii="Segoe UI" w:hAnsi="Segoe UI" w:eastAsia="Segoe UI" w:cs="Segoe UI"/>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基于以上背景，课程团队围绕该课程进行了“课堂革命”探索和实践。依据党的十九大报告中提出的要推动互联网、大数据、人工智能和实体经济深度融合，支持传统行业优化升级，将大数据技术与我国智慧民生的不同领域深度融合，设计商业情境并引入真实数据挖掘任务，基于“岗课赛证”深度融合重构教学内容。借助丰富的自创教学资源，教学团队通过探索实践形成了较为成熟的具有借鉴意义的“三阶梯、七联动、三育人”的教学模式，并结合课程内容中的大数据技术，运用自主研发的学生行为评价与预测系统，实现精准的教学评价与预测。教学模式如图1。</w:t>
      </w:r>
    </w:p>
    <w:p>
      <w:pPr>
        <w:pStyle w:val="4"/>
        <w:keepNext w:val="0"/>
        <w:keepLines w:val="0"/>
        <w:widowControl/>
        <w:suppressLineNumbers w:val="0"/>
        <w:shd w:val="clear" w:fill="FFFFFF"/>
        <w:spacing w:before="0" w:beforeAutospacing="0" w:after="168" w:afterAutospacing="0" w:line="370" w:lineRule="atLeast"/>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638800" cy="3533775"/>
            <wp:effectExtent l="0" t="0" r="0" b="9525"/>
            <wp:docPr id="4" name="图片 1" descr="图1  “三阶梯、七联动、三育人”教学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1  “三阶梯、七联动、三育人”教学模式.png"/>
                    <pic:cNvPicPr>
                      <a:picLocks noChangeAspect="1"/>
                    </pic:cNvPicPr>
                  </pic:nvPicPr>
                  <pic:blipFill>
                    <a:blip r:embed="rId4"/>
                    <a:stretch>
                      <a:fillRect/>
                    </a:stretch>
                  </pic:blipFill>
                  <pic:spPr>
                    <a:xfrm>
                      <a:off x="0" y="0"/>
                      <a:ext cx="5638800" cy="353377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20"/>
        <w:jc w:val="center"/>
        <w:rPr>
          <w:rFonts w:hint="default" w:ascii="Segoe UI" w:hAnsi="Segoe UI" w:eastAsia="Segoe UI" w:cs="Segoe UI"/>
          <w:i w:val="0"/>
          <w:iCs w:val="0"/>
          <w:caps w:val="0"/>
          <w:color w:val="2A333C"/>
          <w:spacing w:val="0"/>
          <w:sz w:val="16"/>
          <w:szCs w:val="16"/>
        </w:rPr>
      </w:pPr>
      <w:r>
        <w:rPr>
          <w:rFonts w:ascii="微软雅黑" w:hAnsi="微软雅黑" w:eastAsia="微软雅黑" w:cs="微软雅黑"/>
          <w:i w:val="0"/>
          <w:iCs w:val="0"/>
          <w:caps w:val="0"/>
          <w:color w:val="2A333C"/>
          <w:spacing w:val="0"/>
          <w:sz w:val="16"/>
          <w:szCs w:val="16"/>
          <w:shd w:val="clear" w:fill="FFFFFF"/>
        </w:rPr>
        <w:t> </w:t>
      </w:r>
      <w:r>
        <w:rPr>
          <w:rFonts w:hint="eastAsia" w:asciiTheme="minorEastAsia" w:hAnsiTheme="minorEastAsia" w:eastAsiaTheme="minorEastAsia" w:cstheme="minorEastAsia"/>
          <w:b/>
          <w:bCs/>
          <w:i w:val="0"/>
          <w:iCs w:val="0"/>
          <w:caps w:val="0"/>
          <w:color w:val="2A333C"/>
          <w:spacing w:val="0"/>
          <w:sz w:val="21"/>
          <w:szCs w:val="21"/>
          <w:shd w:val="clear" w:fill="FFFFFF"/>
        </w:rPr>
        <w:t>图1  “三阶梯、七联动、三育人”教学模式</w:t>
      </w:r>
    </w:p>
    <w:p>
      <w:pPr>
        <w:pStyle w:val="4"/>
        <w:keepNext w:val="0"/>
        <w:keepLines w:val="0"/>
        <w:widowControl/>
        <w:suppressLineNumbers w:val="0"/>
        <w:shd w:val="clear" w:fill="FFFFFF"/>
        <w:spacing w:before="0" w:beforeAutospacing="0" w:after="168" w:afterAutospacing="0" w:line="370" w:lineRule="atLeast"/>
        <w:ind w:left="0" w:firstLine="420" w:firstLineChars="0"/>
        <w:rPr>
          <w:rFonts w:hint="eastAsia" w:ascii="黑体" w:hAnsi="黑体" w:eastAsia="黑体" w:cs="黑体"/>
          <w:i w:val="0"/>
          <w:iCs w:val="0"/>
          <w:caps w:val="0"/>
          <w:color w:val="2A333C"/>
          <w:spacing w:val="0"/>
          <w:sz w:val="32"/>
          <w:szCs w:val="32"/>
        </w:rPr>
      </w:pPr>
      <w:r>
        <w:rPr>
          <w:rStyle w:val="7"/>
          <w:rFonts w:hint="eastAsia" w:ascii="黑体" w:hAnsi="黑体" w:eastAsia="黑体" w:cs="黑体"/>
          <w:b/>
          <w:bCs/>
          <w:i w:val="0"/>
          <w:iCs w:val="0"/>
          <w:caps w:val="0"/>
          <w:color w:val="2A333C"/>
          <w:spacing w:val="0"/>
          <w:sz w:val="32"/>
          <w:szCs w:val="32"/>
          <w:shd w:val="clear" w:fill="FFFFFF"/>
        </w:rPr>
        <w:t>二、课程改革举措</w:t>
      </w:r>
    </w:p>
    <w:p>
      <w:pPr>
        <w:pStyle w:val="4"/>
        <w:keepNext w:val="0"/>
        <w:keepLines w:val="0"/>
        <w:widowControl/>
        <w:suppressLineNumbers w:val="0"/>
        <w:shd w:val="clear" w:fill="FFFFFF"/>
        <w:spacing w:before="0" w:beforeAutospacing="0" w:after="0" w:afterAutospacing="0" w:line="370" w:lineRule="atLeast"/>
        <w:ind w:left="0" w:firstLine="370"/>
        <w:rPr>
          <w:rFonts w:hint="eastAsia" w:ascii="楷体" w:hAnsi="楷体" w:eastAsia="楷体" w:cs="楷体"/>
          <w:i w:val="0"/>
          <w:iCs w:val="0"/>
          <w:caps w:val="0"/>
          <w:color w:val="2A333C"/>
          <w:spacing w:val="0"/>
          <w:sz w:val="24"/>
          <w:szCs w:val="24"/>
        </w:rPr>
      </w:pPr>
      <w:r>
        <w:rPr>
          <w:rStyle w:val="7"/>
          <w:rFonts w:hint="eastAsia" w:ascii="楷体" w:hAnsi="楷体" w:eastAsia="楷体" w:cs="楷体"/>
          <w:b/>
          <w:bCs/>
          <w:i w:val="0"/>
          <w:iCs w:val="0"/>
          <w:caps w:val="0"/>
          <w:color w:val="2A333C"/>
          <w:spacing w:val="0"/>
          <w:sz w:val="24"/>
          <w:szCs w:val="24"/>
          <w:shd w:val="clear" w:fill="FFFFFF"/>
        </w:rPr>
        <w:t>（一）设计综合学习任务，“岗课赛证”深度融合重构教学内容</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课程原教学内容包括四个项目，课程全部学完后仅完成一次工作流程，很难循序渐进地夯实完整岗位技能。基于此，教学团队结合国家专业教学标准，以综合学习任务导向的四元（4C/ID）教学理论为基础，以对上百家企业调研得到的大数据岗位核心职业能力为依据，融合职业技能大赛与1+X证书评价标准，参询大数据分析专员业务能力成长阶段，引入数据咨询企业承接的真实数据任务，设计情境化教学内容，重构了4个逐级递进的全流程工作模块。</w:t>
      </w:r>
    </w:p>
    <w:p>
      <w:pPr>
        <w:pStyle w:val="4"/>
        <w:keepNext w:val="0"/>
        <w:keepLines w:val="0"/>
        <w:widowControl/>
        <w:suppressLineNumbers w:val="0"/>
        <w:shd w:val="clear" w:fill="FFFFFF"/>
        <w:spacing w:before="0" w:beforeAutospacing="0" w:after="168" w:afterAutospacing="0" w:line="370" w:lineRule="atLeast"/>
        <w:ind w:left="0" w:firstLine="370"/>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24"/>
          <w:szCs w:val="24"/>
          <w:shd w:val="clear" w:fill="FFFFFF"/>
        </w:rPr>
        <w:t>以模块三为例，对照智能大数据运营中方案制定、数据处理、数据建模、结论应用的工作流程，聚焦智慧民生领域产品智能推荐、患者智慧问诊、科学疫情评估、农民智慧种植等重要问题，精心设计了4个项目及8个数据任务，并通过岗、课、赛、证的融合体现数字时代的新技术、新模式和新规范。</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438775" cy="3867150"/>
            <wp:effectExtent l="0" t="0" r="9525" b="6350"/>
            <wp:docPr id="2" name="图片 2" descr="图2  模块三“岗课赛证”内容重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模块三“岗课赛证”内容重构.png"/>
                    <pic:cNvPicPr>
                      <a:picLocks noChangeAspect="1"/>
                    </pic:cNvPicPr>
                  </pic:nvPicPr>
                  <pic:blipFill>
                    <a:blip r:embed="rId5"/>
                    <a:stretch>
                      <a:fillRect/>
                    </a:stretch>
                  </pic:blipFill>
                  <pic:spPr>
                    <a:xfrm>
                      <a:off x="0" y="0"/>
                      <a:ext cx="5438775" cy="386715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280"/>
        <w:jc w:val="center"/>
        <w:rPr>
          <w:rFonts w:hint="eastAsia" w:asciiTheme="minorEastAsia" w:hAnsiTheme="minorEastAsia" w:eastAsiaTheme="minorEastAsia" w:cstheme="minorEastAsia"/>
          <w:b/>
          <w:bCs/>
          <w:i w:val="0"/>
          <w:iCs w:val="0"/>
          <w:caps w:val="0"/>
          <w:color w:val="2A333C"/>
          <w:spacing w:val="0"/>
          <w:sz w:val="21"/>
          <w:szCs w:val="21"/>
        </w:rPr>
      </w:pPr>
      <w:r>
        <w:rPr>
          <w:rFonts w:hint="eastAsia" w:asciiTheme="minorEastAsia" w:hAnsiTheme="minorEastAsia" w:eastAsiaTheme="minorEastAsia" w:cstheme="minorEastAsia"/>
          <w:b/>
          <w:bCs/>
          <w:i w:val="0"/>
          <w:iCs w:val="0"/>
          <w:caps w:val="0"/>
          <w:color w:val="2A333C"/>
          <w:spacing w:val="0"/>
          <w:sz w:val="21"/>
          <w:szCs w:val="21"/>
          <w:shd w:val="clear" w:fill="FFFFFF"/>
        </w:rPr>
        <w:t> 图2  模块三“岗课赛证”内容重构</w:t>
      </w:r>
    </w:p>
    <w:p>
      <w:pPr>
        <w:pStyle w:val="4"/>
        <w:keepNext w:val="0"/>
        <w:keepLines w:val="0"/>
        <w:widowControl/>
        <w:suppressLineNumbers w:val="0"/>
        <w:shd w:val="clear" w:fill="FFFFFF"/>
        <w:spacing w:before="0" w:beforeAutospacing="0" w:after="0" w:afterAutospacing="0" w:line="370" w:lineRule="atLeast"/>
        <w:ind w:left="0" w:firstLine="370"/>
        <w:rPr>
          <w:rFonts w:hint="eastAsia" w:ascii="宋体" w:hAnsi="宋体" w:eastAsia="宋体" w:cs="宋体"/>
          <w:i w:val="0"/>
          <w:iCs w:val="0"/>
          <w:caps w:val="0"/>
          <w:color w:val="2A333C"/>
          <w:spacing w:val="0"/>
          <w:sz w:val="24"/>
          <w:szCs w:val="24"/>
        </w:rPr>
      </w:pPr>
      <w:r>
        <w:rPr>
          <w:rStyle w:val="7"/>
          <w:rFonts w:hint="eastAsia" w:ascii="楷体" w:hAnsi="楷体" w:eastAsia="楷体" w:cs="楷体"/>
          <w:b/>
          <w:bCs/>
          <w:i w:val="0"/>
          <w:iCs w:val="0"/>
          <w:caps w:val="0"/>
          <w:color w:val="2A333C"/>
          <w:spacing w:val="0"/>
          <w:sz w:val="24"/>
          <w:szCs w:val="24"/>
          <w:shd w:val="clear" w:fill="FFFFFF"/>
        </w:rPr>
        <w:t>（二）立足教学成效提升，丰富“数字化、情境化”的教学资源</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为提升教学成效不断丰富资源和数字化手段：1.自建微课、二维情境动画以及3D仿真动画，打造沉浸式学习场景，助力学生理解抽象的数据建模过程。2.自建数据算法探索3D游戏，强化小组自主探索和互动思考，充分激发学生兴趣。3.自主运营微信公众号，拓展大数据应用相关知识，提升迁移能力。4.引入行业前沿大数据建模系统，助力学生通过可视化图形界面操作完成数据挖掘建模过程。5.自建SPOC课程，整合各类资源，通过职教云平台有效推进混合式教学。</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467350" cy="3038475"/>
            <wp:effectExtent l="0" t="0" r="6350" b="9525"/>
            <wp:docPr id="1" name="图片 3" descr="图3  课程教学资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3  课程教学资源.png"/>
                    <pic:cNvPicPr>
                      <a:picLocks noChangeAspect="1"/>
                    </pic:cNvPicPr>
                  </pic:nvPicPr>
                  <pic:blipFill>
                    <a:blip r:embed="rId6"/>
                    <a:stretch>
                      <a:fillRect/>
                    </a:stretch>
                  </pic:blipFill>
                  <pic:spPr>
                    <a:xfrm>
                      <a:off x="0" y="0"/>
                      <a:ext cx="5467350" cy="303847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00" w:afterAutospacing="0" w:line="370" w:lineRule="atLeast"/>
        <w:ind w:left="0" w:firstLine="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b/>
          <w:bCs/>
          <w:i w:val="0"/>
          <w:iCs w:val="0"/>
          <w:caps w:val="0"/>
          <w:color w:val="2A333C"/>
          <w:spacing w:val="0"/>
          <w:sz w:val="21"/>
          <w:szCs w:val="21"/>
          <w:shd w:val="clear" w:fill="FFFFFF"/>
        </w:rPr>
        <w:t>图3  课程教学资源</w:t>
      </w:r>
    </w:p>
    <w:p>
      <w:pPr>
        <w:pStyle w:val="4"/>
        <w:keepNext w:val="0"/>
        <w:keepLines w:val="0"/>
        <w:widowControl/>
        <w:suppressLineNumbers w:val="0"/>
        <w:shd w:val="clear" w:fill="FFFFFF"/>
        <w:spacing w:before="0" w:beforeAutospacing="0" w:after="0" w:afterAutospacing="0" w:line="370" w:lineRule="atLeast"/>
        <w:ind w:left="0" w:firstLine="370"/>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（三）依照数据工作流程，实施“三阶梯、七联动”的课堂革命</w:t>
      </w:r>
    </w:p>
    <w:p>
      <w:pPr>
        <w:pStyle w:val="4"/>
        <w:keepNext w:val="0"/>
        <w:keepLines w:val="0"/>
        <w:widowControl/>
        <w:suppressLineNumbers w:val="0"/>
        <w:shd w:val="clear" w:fill="FFFFFF"/>
        <w:spacing w:before="0" w:beforeAutospacing="0" w:after="0" w:afterAutospacing="0" w:line="370" w:lineRule="atLeast"/>
        <w:ind w:left="280" w:firstLine="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1.依据脚手架原则搭建数据任务三阶梯</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基于教学经验发现，学生对于复杂的数据建模等技能存在“学不会、够不着”等问题。结合智慧民生情境，针对不同任务，每次课均采用脚手架原则设计难度递进的三阶数据任务，助力学生穿越“最近发展区”。结合不同学习内容，以补全数据任务、数字化游戏互动等方式为三级任务阶梯建立向上的“扶手”，助力学生提升数据技能。</w:t>
      </w:r>
    </w:p>
    <w:p>
      <w:pPr>
        <w:pStyle w:val="4"/>
        <w:keepNext w:val="0"/>
        <w:keepLines w:val="0"/>
        <w:widowControl/>
        <w:suppressLineNumbers w:val="0"/>
        <w:shd w:val="clear" w:fill="FFFFFF"/>
        <w:spacing w:before="0" w:beforeAutospacing="0" w:after="0" w:afterAutospacing="0" w:line="370" w:lineRule="atLeast"/>
        <w:ind w:left="280" w:firstLine="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2.基于5E教学模式设计教学环节七联动</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针对学情分析发现，学生对于抽象的数据挖掘原理存在“没兴趣、不想学”等问题。基于“吸引-探究-解释-迁移-评价”的5E教学模式，结合三阶数据任务，贯穿教学过程拓展设计循序渐进的“低阶练习、低阶检验、中阶先行、思而后学、高阶训练、感悟提升、拓展强化”教学七环节联动，构建“先实践发现问题、后理论分析问题、再实践解决问题”的自主学习路径。</w:t>
      </w:r>
    </w:p>
    <w:p>
      <w:pPr>
        <w:pStyle w:val="4"/>
        <w:keepNext w:val="0"/>
        <w:keepLines w:val="0"/>
        <w:widowControl/>
        <w:suppressLineNumbers w:val="0"/>
        <w:shd w:val="clear" w:fill="FFFFFF"/>
        <w:spacing w:before="0" w:beforeAutospacing="0" w:after="0" w:afterAutospacing="0" w:line="370" w:lineRule="atLeast"/>
        <w:ind w:left="280" w:firstLine="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3.实施“三阶梯、七联动”的课堂革命</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以模块三为例，每个任务在课前实施低阶练习，课中通过低阶检验环节查漏补缺引入情境、中阶先行环节合作探究中阶数据任务发现问题、思而后学环节以合作学习方式突破重点、高阶训练环节以个人训练和小组实战完成高阶数据任务化解难点、感悟提升环节进行总结和思政升华。课后拓展强化环节以巩固学习内容。如图4所示。</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686425" cy="3009900"/>
            <wp:effectExtent l="0" t="0" r="3175" b="0"/>
            <wp:docPr id="6" name="图片 4" descr="图4  模块三“三阶梯、七联动”的课堂革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4  模块三“三阶梯、七联动”的课堂革命.png"/>
                    <pic:cNvPicPr>
                      <a:picLocks noChangeAspect="1"/>
                    </pic:cNvPicPr>
                  </pic:nvPicPr>
                  <pic:blipFill>
                    <a:blip r:embed="rId7"/>
                    <a:stretch>
                      <a:fillRect/>
                    </a:stretch>
                  </pic:blipFill>
                  <pic:spPr>
                    <a:xfrm>
                      <a:off x="0" y="0"/>
                      <a:ext cx="5686425" cy="30099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eastAsia" w:asciiTheme="minorEastAsia" w:hAnsiTheme="minorEastAsia" w:eastAsiaTheme="minorEastAsia" w:cstheme="minorEastAsia"/>
          <w:b/>
          <w:bCs/>
          <w:i w:val="0"/>
          <w:iCs w:val="0"/>
          <w:caps w:val="0"/>
          <w:color w:val="2A333C"/>
          <w:spacing w:val="0"/>
          <w:sz w:val="21"/>
          <w:szCs w:val="21"/>
        </w:rPr>
      </w:pPr>
      <w:r>
        <w:rPr>
          <w:rFonts w:hint="eastAsia" w:asciiTheme="minorEastAsia" w:hAnsiTheme="minorEastAsia" w:eastAsiaTheme="minorEastAsia" w:cstheme="minorEastAsia"/>
          <w:b/>
          <w:bCs/>
          <w:i w:val="0"/>
          <w:iCs w:val="0"/>
          <w:caps w:val="0"/>
          <w:color w:val="2A333C"/>
          <w:spacing w:val="0"/>
          <w:sz w:val="21"/>
          <w:szCs w:val="21"/>
          <w:shd w:val="clear" w:fill="FFFFFF"/>
        </w:rPr>
        <w:t>图4  模块三“三阶梯、七联动”的课堂革命</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（四）结合专业教学内容实施课程思政“三育人”</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围绕用数据技术构筑智慧生活的思政主线展开教学。课前，学生完成低阶数据任务预习智慧民生微课；课中，对数据技术进行延伸理解，提升品格素养；对数据挖掘工作流程关键任务点进行总结反思，强化大数据分析专员所需的职业素养；思考由3阶数据任务引申出的打破算法封锁和算力赋能强国等案例，树立科技报国情怀。课后，完成拓展任务并学习自建思政资源，进一步强化素养与情怀。</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562600" cy="3048000"/>
            <wp:effectExtent l="0" t="0" r="0" b="0"/>
            <wp:docPr id="7" name="图片 5" descr="图5  课程思政实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图5  课程思政实施.png"/>
                    <pic:cNvPicPr>
                      <a:picLocks noChangeAspect="1"/>
                    </pic:cNvPicPr>
                  </pic:nvPicPr>
                  <pic:blipFill>
                    <a:blip r:embed="rId8"/>
                    <a:stretch>
                      <a:fillRect/>
                    </a:stretch>
                  </pic:blipFill>
                  <pic:spPr>
                    <a:xfrm>
                      <a:off x="0" y="0"/>
                      <a:ext cx="5562600" cy="30480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eastAsia" w:asciiTheme="minorEastAsia" w:hAnsiTheme="minorEastAsia" w:eastAsiaTheme="minorEastAsia" w:cstheme="minorEastAsia"/>
          <w:b/>
          <w:bCs/>
          <w:i w:val="0"/>
          <w:iCs w:val="0"/>
          <w:caps w:val="0"/>
          <w:color w:val="2A333C"/>
          <w:spacing w:val="0"/>
          <w:sz w:val="21"/>
          <w:szCs w:val="21"/>
        </w:rPr>
      </w:pPr>
      <w:r>
        <w:rPr>
          <w:rFonts w:hint="eastAsia" w:asciiTheme="minorEastAsia" w:hAnsiTheme="minorEastAsia" w:eastAsiaTheme="minorEastAsia" w:cstheme="minorEastAsia"/>
          <w:b/>
          <w:bCs/>
          <w:i w:val="0"/>
          <w:iCs w:val="0"/>
          <w:caps w:val="0"/>
          <w:color w:val="2A333C"/>
          <w:spacing w:val="0"/>
          <w:sz w:val="21"/>
          <w:szCs w:val="21"/>
          <w:shd w:val="clear" w:fill="FFFFFF"/>
        </w:rPr>
        <w:t>图5  课程思政实施</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（五）基于学习行为数据，实施“七指标、五模型”的评价预测</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基于课程重点学习的大数据算法，教学团队自主研发了学生行为评价与预测系统，并详细制定了7个学习评价指标。教学过程中通过对学生的线上和线下7个学习评价指标进行数据记录。课后，将记录的数据输入学生行为评价与预测系统，通过评价模型实现增值评价和综合评价，并通过4个大数据算法模型对未来的学习行为模式和可能出现的学习成效进行精度可控的预测，及时调整教学策略，精准反哺教学。如图6所示。</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仿宋" w:hAnsi="仿宋" w:eastAsia="仿宋" w:cs="仿宋"/>
          <w:i w:val="0"/>
          <w:iCs w:val="0"/>
          <w:caps w:val="0"/>
          <w:color w:val="2A333C"/>
          <w:spacing w:val="0"/>
          <w:sz w:val="19"/>
          <w:szCs w:val="19"/>
          <w:shd w:val="clear" w:fill="FFFFFF"/>
        </w:rPr>
        <w:drawing>
          <wp:inline distT="0" distB="0" distL="114300" distR="114300">
            <wp:extent cx="5810250" cy="3038475"/>
            <wp:effectExtent l="0" t="0" r="6350" b="9525"/>
            <wp:docPr id="3" name="图片 6" descr="图6  课程“七指标、五模型”评价预测的实施过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图6  课程“七指标、五模型”评价预测的实施过程.png"/>
                    <pic:cNvPicPr>
                      <a:picLocks noChangeAspect="1"/>
                    </pic:cNvPicPr>
                  </pic:nvPicPr>
                  <pic:blipFill>
                    <a:blip r:embed="rId9"/>
                    <a:stretch>
                      <a:fillRect/>
                    </a:stretch>
                  </pic:blipFill>
                  <pic:spPr>
                    <a:xfrm>
                      <a:off x="0" y="0"/>
                      <a:ext cx="5810250" cy="303847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Theme="minorEastAsia" w:hAnsiTheme="minorEastAsia" w:eastAsiaTheme="minorEastAsia" w:cstheme="minorEastAsia"/>
          <w:b/>
          <w:bCs/>
          <w:i w:val="0"/>
          <w:iCs w:val="0"/>
          <w:caps w:val="0"/>
          <w:color w:val="2A333C"/>
          <w:spacing w:val="0"/>
          <w:sz w:val="21"/>
          <w:szCs w:val="21"/>
          <w:shd w:val="clear" w:fill="FFFFFF"/>
        </w:rPr>
        <w:t>图6  课程“七指标、五模型”评价预测的实施过程</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（六）具体课程实施范例</w:t>
      </w:r>
    </w:p>
    <w:p>
      <w:pPr>
        <w:pStyle w:val="4"/>
        <w:keepNext w:val="0"/>
        <w:keepLines w:val="0"/>
        <w:widowControl/>
        <w:suppressLineNumbers w:val="0"/>
        <w:shd w:val="clear" w:fill="FFFFFF"/>
        <w:spacing w:before="0" w:beforeAutospacing="0" w:after="168" w:afterAutospacing="0" w:line="370" w:lineRule="atLeast"/>
        <w:ind w:left="0" w:firstLine="370"/>
        <w:jc w:val="left"/>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以模块三任务4“寻医问药-患者智慧问诊”决策树与随机森林的实施为例，以三阶智慧医疗数据任务为依托，以覆盖课前课中课后的教学七环节进行联动，以三个层面融思政育人，并通过决策树算法3D游戏、随机森林3D仿真动画等资源进行互动教学，最终使学生有效掌握决策树与随机森林算法原理并夯实建模技能。教学全程记录学生行为数据并在课后通过系统进行评价与预测。如图7所示。</w:t>
      </w:r>
    </w:p>
    <w:p>
      <w:pPr>
        <w:pStyle w:val="4"/>
        <w:keepNext w:val="0"/>
        <w:keepLines w:val="0"/>
        <w:widowControl/>
        <w:suppressLineNumbers w:val="0"/>
        <w:shd w:val="clear" w:fill="FFFFFF"/>
        <w:spacing w:before="0" w:beforeAutospacing="0" w:after="168" w:afterAutospacing="0" w:line="370" w:lineRule="atLeast"/>
        <w:ind w:left="0" w:firstLine="370"/>
        <w:jc w:val="both"/>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457825" cy="3448050"/>
            <wp:effectExtent l="0" t="0" r="3175" b="6350"/>
            <wp:docPr id="5" name="图片 7" descr="图7  具体课程实施范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图7  具体课程实施范例.png"/>
                    <pic:cNvPicPr>
                      <a:picLocks noChangeAspect="1"/>
                    </pic:cNvPicPr>
                  </pic:nvPicPr>
                  <pic:blipFill>
                    <a:blip r:embed="rId10"/>
                    <a:stretch>
                      <a:fillRect/>
                    </a:stretch>
                  </pic:blipFill>
                  <pic:spPr>
                    <a:xfrm>
                      <a:off x="0" y="0"/>
                      <a:ext cx="5457825" cy="344805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b/>
          <w:bCs/>
          <w:i w:val="0"/>
          <w:iCs w:val="0"/>
          <w:caps w:val="0"/>
          <w:color w:val="2A333C"/>
          <w:spacing w:val="0"/>
          <w:sz w:val="21"/>
          <w:szCs w:val="21"/>
        </w:rPr>
      </w:pPr>
      <w:r>
        <w:rPr>
          <w:rFonts w:hint="eastAsia" w:ascii="宋体" w:hAnsi="宋体" w:eastAsia="宋体" w:cs="宋体"/>
          <w:b/>
          <w:bCs/>
          <w:i w:val="0"/>
          <w:iCs w:val="0"/>
          <w:caps w:val="0"/>
          <w:color w:val="2A333C"/>
          <w:spacing w:val="0"/>
          <w:sz w:val="21"/>
          <w:szCs w:val="21"/>
          <w:shd w:val="clear" w:fill="FFFFFF"/>
        </w:rPr>
        <w:t>图7  具体课程实施范例</w:t>
      </w:r>
    </w:p>
    <w:p>
      <w:pPr>
        <w:pStyle w:val="4"/>
        <w:keepNext w:val="0"/>
        <w:keepLines w:val="0"/>
        <w:widowControl/>
        <w:suppressLineNumbers w:val="0"/>
        <w:shd w:val="clear" w:fill="FFFFFF"/>
        <w:spacing w:before="0" w:beforeAutospacing="0" w:after="168" w:afterAutospacing="0" w:line="370" w:lineRule="atLeast"/>
        <w:ind w:left="0" w:firstLine="420" w:firstLineChars="0"/>
        <w:rPr>
          <w:rFonts w:hint="eastAsia" w:ascii="黑体" w:hAnsi="黑体" w:eastAsia="黑体" w:cs="黑体"/>
          <w:i w:val="0"/>
          <w:iCs w:val="0"/>
          <w:caps w:val="0"/>
          <w:color w:val="2A333C"/>
          <w:spacing w:val="0"/>
          <w:sz w:val="32"/>
          <w:szCs w:val="32"/>
        </w:rPr>
      </w:pPr>
      <w:r>
        <w:rPr>
          <w:rStyle w:val="7"/>
          <w:rFonts w:hint="eastAsia" w:ascii="黑体" w:hAnsi="黑体" w:eastAsia="黑体" w:cs="黑体"/>
          <w:b/>
          <w:bCs/>
          <w:i w:val="0"/>
          <w:iCs w:val="0"/>
          <w:caps w:val="0"/>
          <w:color w:val="2A333C"/>
          <w:spacing w:val="0"/>
          <w:sz w:val="32"/>
          <w:szCs w:val="32"/>
          <w:shd w:val="clear" w:fill="FFFFFF"/>
        </w:rPr>
        <w:t>三、课程改革效果</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（一）提兴趣、有理想，职业素养与爱国情怀均增强</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课堂革命激发了学生对大数据运营的兴趣，显著改善了课堂参与度。随着教学持续推进，线上学习平台互动次数及人均在线时长均持续走高；通过对学习评价指标的组合加权分析，可以看到学生的劳动意识、团队意识、创新精神、工匠精神均显著提升，增强了大数据分析专员的职业素养，科技报国的爱国情怀已逐步增强。</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（二）懂算法、能应用，知识目标与能力目标双达成</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以授课对象商务数据分析与应用专业二年级学生为例，模块三知识考核与上一模块相比，全班33名同学成绩均稳定提升，这反映学生在知识层面上已从多维数据分析提升为智能算法分析。同时，在校企联合设计的大数据岗位技能考核中，岗位所要求的五大核心技能均提升明显，有效达成知识能力目标。</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（三）通赛证、能科研，双创思维与综合能力同提升</w:t>
      </w:r>
    </w:p>
    <w:p>
      <w:pPr>
        <w:pStyle w:val="4"/>
        <w:keepNext w:val="0"/>
        <w:keepLines w:val="0"/>
        <w:widowControl/>
        <w:suppressLineNumbers w:val="0"/>
        <w:shd w:val="clear" w:fill="FFFFFF"/>
        <w:spacing w:before="0" w:beforeAutospacing="0" w:after="168" w:afterAutospacing="0" w:line="370" w:lineRule="atLeast"/>
        <w:ind w:left="0" w:firstLine="370"/>
        <w:jc w:val="left"/>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24"/>
          <w:szCs w:val="24"/>
          <w:shd w:val="clear" w:fill="FFFFFF"/>
        </w:rPr>
        <w:t>学生把知识、技能延伸到课后，参加各级职业技能大赛获奖、创新实践项目立项以及创新创业大赛获奖人数的增长率超过50%，同时通过1+X证书考核的人数增长率也超过50%，提升明显。教师与学生共同组建兴趣研究小组，学生参与省级课题、国家级专利与高水平论文的数据处理与建模。赛、研参与度100%，全面提升了双创思维和综合能力。</w:t>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default" w:ascii="Segoe UI" w:hAnsi="Segoe UI" w:eastAsia="Segoe UI" w:cs="Segoe UI"/>
          <w:i w:val="0"/>
          <w:iCs w:val="0"/>
          <w:caps w:val="0"/>
          <w:color w:val="2A333C"/>
          <w:spacing w:val="0"/>
          <w:sz w:val="16"/>
          <w:szCs w:val="16"/>
        </w:rPr>
      </w:pPr>
      <w:r>
        <w:rPr>
          <w:rFonts w:hint="eastAsia" w:ascii="宋体" w:hAnsi="宋体" w:eastAsia="宋体" w:cs="宋体"/>
          <w:i w:val="0"/>
          <w:iCs w:val="0"/>
          <w:caps w:val="0"/>
          <w:color w:val="2A333C"/>
          <w:spacing w:val="0"/>
          <w:sz w:val="16"/>
          <w:szCs w:val="16"/>
          <w:shd w:val="clear" w:fill="FFFFFF"/>
        </w:rPr>
        <w:drawing>
          <wp:inline distT="0" distB="0" distL="114300" distR="114300">
            <wp:extent cx="5324475" cy="3829050"/>
            <wp:effectExtent l="0" t="0" r="9525" b="6350"/>
            <wp:docPr id="8" name="图片 8" descr="图8  课程改革效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8  课程改革效果.png"/>
                    <pic:cNvPicPr>
                      <a:picLocks noChangeAspect="1"/>
                    </pic:cNvPicPr>
                  </pic:nvPicPr>
                  <pic:blipFill>
                    <a:blip r:embed="rId11"/>
                    <a:stretch>
                      <a:fillRect/>
                    </a:stretch>
                  </pic:blipFill>
                  <pic:spPr>
                    <a:xfrm>
                      <a:off x="0" y="0"/>
                      <a:ext cx="5324475" cy="382905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68" w:afterAutospacing="0" w:line="370" w:lineRule="atLeast"/>
        <w:ind w:left="0" w:firstLine="370"/>
        <w:jc w:val="center"/>
        <w:rPr>
          <w:rFonts w:hint="eastAsia" w:asciiTheme="minorEastAsia" w:hAnsiTheme="minorEastAsia" w:eastAsiaTheme="minorEastAsia" w:cstheme="minorEastAsia"/>
          <w:b/>
          <w:bCs/>
          <w:i w:val="0"/>
          <w:iCs w:val="0"/>
          <w:caps w:val="0"/>
          <w:color w:val="2A333C"/>
          <w:spacing w:val="0"/>
          <w:sz w:val="21"/>
          <w:szCs w:val="21"/>
        </w:rPr>
      </w:pPr>
      <w:r>
        <w:rPr>
          <w:rFonts w:hint="eastAsia" w:asciiTheme="minorEastAsia" w:hAnsiTheme="minorEastAsia" w:eastAsiaTheme="minorEastAsia" w:cstheme="minorEastAsia"/>
          <w:b/>
          <w:bCs/>
          <w:i w:val="0"/>
          <w:iCs w:val="0"/>
          <w:caps w:val="0"/>
          <w:color w:val="2A333C"/>
          <w:spacing w:val="0"/>
          <w:sz w:val="21"/>
          <w:szCs w:val="21"/>
          <w:shd w:val="clear" w:fill="FFFFFF"/>
        </w:rPr>
        <w:t>图8  课程改革效果</w:t>
      </w:r>
    </w:p>
    <w:p>
      <w:pPr>
        <w:pStyle w:val="4"/>
        <w:keepNext w:val="0"/>
        <w:keepLines w:val="0"/>
        <w:widowControl/>
        <w:suppressLineNumbers w:val="0"/>
        <w:shd w:val="clear" w:fill="FFFFFF"/>
        <w:spacing w:before="0" w:beforeAutospacing="0" w:after="168" w:afterAutospacing="0" w:line="370" w:lineRule="atLeast"/>
        <w:ind w:firstLine="420" w:firstLineChars="0"/>
        <w:rPr>
          <w:rFonts w:hint="eastAsia" w:ascii="楷体" w:hAnsi="楷体" w:eastAsia="楷体" w:cs="楷体"/>
          <w:i w:val="0"/>
          <w:iCs w:val="0"/>
          <w:caps w:val="0"/>
          <w:color w:val="2A333C"/>
          <w:spacing w:val="0"/>
          <w:sz w:val="32"/>
          <w:szCs w:val="32"/>
        </w:rPr>
      </w:pPr>
      <w:r>
        <w:rPr>
          <w:rStyle w:val="7"/>
          <w:rFonts w:hint="eastAsia" w:ascii="楷体" w:hAnsi="楷体" w:eastAsia="楷体" w:cs="楷体"/>
          <w:b/>
          <w:bCs/>
          <w:i w:val="0"/>
          <w:iCs w:val="0"/>
          <w:caps w:val="0"/>
          <w:color w:val="2A333C"/>
          <w:spacing w:val="0"/>
          <w:sz w:val="32"/>
          <w:szCs w:val="32"/>
          <w:shd w:val="clear" w:fill="FFFFFF"/>
          <w:lang w:val="en-US" w:eastAsia="zh-CN"/>
        </w:rPr>
        <w:t>四、</w:t>
      </w:r>
      <w:r>
        <w:rPr>
          <w:rStyle w:val="7"/>
          <w:rFonts w:hint="eastAsia" w:ascii="楷体" w:hAnsi="楷体" w:eastAsia="楷体" w:cs="楷体"/>
          <w:b/>
          <w:bCs/>
          <w:i w:val="0"/>
          <w:iCs w:val="0"/>
          <w:caps w:val="0"/>
          <w:color w:val="2A333C"/>
          <w:spacing w:val="0"/>
          <w:sz w:val="32"/>
          <w:szCs w:val="32"/>
          <w:shd w:val="clear" w:fill="FFFFFF"/>
        </w:rPr>
        <w:t>改革创新点</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（一）形成多次递进、流程完整、对接前沿的内容重构新范式</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以岗位核心能力为中心，对标企业员工不同成长阶段的工作内容，将教学内容创新性重构为多个难度递进的全流程工作模块，使学生学习规律与员工职业能力发展规律相统一，并助力学生将散点性知识自主整合。</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（二）形成任务进阶、以用导学、思政融通的教学设计新思路</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每次课通过低、中、高3阶数据任务阶梯式促进能力提升，并通过教学环节的联动构建了“实践-思考-再实践”的自主学习路径，以用导学式的激发学生探索精神。同时，在3阶任务的实施中融入与课程同向同行的思政主线，达到润物细无声的效果。</w:t>
      </w:r>
    </w:p>
    <w:p>
      <w:pPr>
        <w:pStyle w:val="4"/>
        <w:keepNext w:val="0"/>
        <w:keepLines w:val="0"/>
        <w:widowControl/>
        <w:suppressLineNumbers w:val="0"/>
        <w:shd w:val="clear" w:fill="FFFFFF"/>
        <w:spacing w:before="0" w:beforeAutospacing="0" w:after="0" w:afterAutospacing="0" w:line="370" w:lineRule="atLeast"/>
        <w:ind w:left="0" w:firstLine="370"/>
        <w:jc w:val="left"/>
        <w:rPr>
          <w:rStyle w:val="7"/>
          <w:rFonts w:hint="eastAsia" w:ascii="楷体" w:hAnsi="楷体" w:eastAsia="楷体" w:cs="楷体"/>
          <w:b/>
          <w:bCs/>
          <w:i w:val="0"/>
          <w:iCs w:val="0"/>
          <w:caps w:val="0"/>
          <w:color w:val="2A333C"/>
          <w:spacing w:val="0"/>
          <w:sz w:val="24"/>
          <w:szCs w:val="24"/>
          <w:shd w:val="clear" w:fill="FFFFFF"/>
        </w:rPr>
      </w:pPr>
      <w:r>
        <w:rPr>
          <w:rStyle w:val="7"/>
          <w:rFonts w:hint="eastAsia" w:ascii="楷体" w:hAnsi="楷体" w:eastAsia="楷体" w:cs="楷体"/>
          <w:b/>
          <w:bCs/>
          <w:i w:val="0"/>
          <w:iCs w:val="0"/>
          <w:caps w:val="0"/>
          <w:color w:val="2A333C"/>
          <w:spacing w:val="0"/>
          <w:sz w:val="24"/>
          <w:szCs w:val="24"/>
          <w:shd w:val="clear" w:fill="FFFFFF"/>
        </w:rPr>
        <w:t>（三）形成指标引领、评价全面、预测精准的教学诊改新手段</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结合课程学习的大数据模型，自主研发了学生行为评价与预测系统，并创新性构建了标准化的学习评价指标体系，系统通过对指标数据的建模，能够达到全面客观的评价学生学习过程和效果、预测未来学习效果设计精准化教学策略。</w:t>
      </w:r>
    </w:p>
    <w:p>
      <w:pPr>
        <w:pStyle w:val="4"/>
        <w:keepNext w:val="0"/>
        <w:keepLines w:val="0"/>
        <w:widowControl/>
        <w:suppressLineNumbers w:val="0"/>
        <w:shd w:val="clear" w:fill="FFFFFF"/>
        <w:spacing w:before="0" w:beforeAutospacing="0" w:after="168" w:afterAutospacing="0" w:line="370" w:lineRule="atLeast"/>
        <w:ind w:left="0" w:firstLine="370"/>
        <w:rPr>
          <w:rFonts w:hint="eastAsia" w:ascii="宋体" w:hAnsi="宋体" w:eastAsia="宋体" w:cs="宋体"/>
          <w:i w:val="0"/>
          <w:iCs w:val="0"/>
          <w:caps w:val="0"/>
          <w:color w:val="2A333C"/>
          <w:spacing w:val="0"/>
          <w:sz w:val="24"/>
          <w:szCs w:val="24"/>
        </w:rPr>
      </w:pPr>
      <w:r>
        <w:rPr>
          <w:rFonts w:hint="eastAsia" w:ascii="宋体" w:hAnsi="宋体" w:eastAsia="宋体" w:cs="宋体"/>
          <w:i w:val="0"/>
          <w:iCs w:val="0"/>
          <w:caps w:val="0"/>
          <w:color w:val="2A333C"/>
          <w:spacing w:val="0"/>
          <w:sz w:val="24"/>
          <w:szCs w:val="24"/>
          <w:shd w:val="clear" w:fill="FFFFFF"/>
        </w:rPr>
        <w:t>（石家庄邮电职业技术学院 龚雅洁、张昶、张蕾）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M2Y0MjBhYjg2NDJiNGQxMjE5MGY0NjI0ZGNhYTQifQ=="/>
  </w:docVars>
  <w:rsids>
    <w:rsidRoot w:val="00000000"/>
    <w:rsid w:val="12970BD5"/>
    <w:rsid w:val="36885D0E"/>
    <w:rsid w:val="42F407D0"/>
    <w:rsid w:val="68944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2023-11-21T06:15:00Z</dcterms:created>
  <dc:creator>hp</dc:creator>
  <cp:lastModifiedBy>豆哥</cp:lastModifiedBy>
  <dcterms:modified xsi:type="dcterms:W3CDTF">2023-11-21T06:35:16Z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98E3546EF1A343F69D0AE716F9330194_12</vt:lpwstr>
  </property>
</Properties>
</file>